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858A1" w14:textId="3B6C3166" w:rsidR="007604F2" w:rsidRPr="007604F2" w:rsidRDefault="007604F2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941D99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88</w:t>
      </w:r>
      <w:r w:rsidR="001944BD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A948B7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     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7604F2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EA37A8" w:rsidRPr="00A423AA">
        <w:rPr>
          <w:rFonts w:ascii="Arial" w:hAnsi="Arial" w:cs="Arial"/>
          <w:b/>
          <w:bCs/>
          <w:noProof/>
          <w:sz w:val="24"/>
          <w:szCs w:val="24"/>
        </w:rPr>
        <w:t>1705781</w:t>
      </w:r>
    </w:p>
    <w:p w14:paraId="766D1BAF" w14:textId="333F275F" w:rsidR="007604F2" w:rsidRPr="007604F2" w:rsidRDefault="00941D99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Spokane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941D99">
        <w:rPr>
          <w:rFonts w:ascii="Arial" w:hAnsi="Arial" w:cs="Arial"/>
          <w:b/>
          <w:bCs/>
          <w:noProof/>
          <w:sz w:val="24"/>
          <w:szCs w:val="24"/>
        </w:rPr>
        <w:t>3 - 7 Apr 2017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40AFDAEA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2" w:name="Title"/>
      <w:bookmarkEnd w:id="2"/>
      <w:r w:rsidRPr="001E25A7">
        <w:rPr>
          <w:sz w:val="22"/>
          <w:szCs w:val="22"/>
          <w:lang w:val="en-US"/>
        </w:rPr>
        <w:tab/>
      </w:r>
      <w:r w:rsidR="004E08CB">
        <w:rPr>
          <w:sz w:val="22"/>
          <w:szCs w:val="22"/>
          <w:lang w:val="en-US"/>
        </w:rPr>
        <w:t>On coexistence of Rel-14 and Rel-15 V2X</w:t>
      </w:r>
    </w:p>
    <w:p w14:paraId="35A90F35" w14:textId="356E1A13" w:rsidR="00005DBD" w:rsidRPr="00A423AA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A423AA">
        <w:rPr>
          <w:sz w:val="22"/>
          <w:szCs w:val="22"/>
          <w:lang w:val="en-US"/>
        </w:rPr>
        <w:t>Agenda Item:</w:t>
      </w:r>
      <w:r w:rsidRPr="00A423AA">
        <w:rPr>
          <w:sz w:val="22"/>
          <w:szCs w:val="22"/>
          <w:lang w:val="en-US"/>
        </w:rPr>
        <w:tab/>
      </w:r>
      <w:r w:rsidR="00EA37A8" w:rsidRPr="00A423AA">
        <w:rPr>
          <w:sz w:val="22"/>
          <w:szCs w:val="22"/>
          <w:lang w:val="en-US"/>
        </w:rPr>
        <w:t>7.2.3.4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304EE2F6" w14:textId="6E5FAB89" w:rsidR="00495771" w:rsidRDefault="00495771" w:rsidP="00DF3FAA">
      <w:pPr>
        <w:pStyle w:val="BodyText"/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WID </w:t>
      </w:r>
      <w:r w:rsidR="00451F02">
        <w:rPr>
          <w:rFonts w:eastAsia="Malgun Gothic"/>
          <w:sz w:val="20"/>
          <w:szCs w:val="20"/>
          <w:lang w:eastAsia="ko-KR"/>
        </w:rPr>
        <w:fldChar w:fldCharType="begin"/>
      </w:r>
      <w:r w:rsidR="00451F02">
        <w:rPr>
          <w:rFonts w:eastAsia="Malgun Gothic"/>
          <w:sz w:val="20"/>
          <w:szCs w:val="20"/>
          <w:lang w:eastAsia="ko-KR"/>
        </w:rPr>
        <w:instrText xml:space="preserve"> REF _Ref477334356 \r \h </w:instrText>
      </w:r>
      <w:r w:rsidR="00451F02">
        <w:rPr>
          <w:rFonts w:eastAsia="Malgun Gothic"/>
          <w:sz w:val="20"/>
          <w:szCs w:val="20"/>
          <w:lang w:eastAsia="ko-KR"/>
        </w:rPr>
      </w:r>
      <w:r w:rsidR="00451F02">
        <w:rPr>
          <w:rFonts w:eastAsia="Malgun Gothic"/>
          <w:sz w:val="20"/>
          <w:szCs w:val="20"/>
          <w:lang w:eastAsia="ko-KR"/>
        </w:rPr>
        <w:fldChar w:fldCharType="separate"/>
      </w:r>
      <w:r w:rsidR="00451F02">
        <w:rPr>
          <w:rFonts w:eastAsia="Malgun Gothic"/>
          <w:sz w:val="20"/>
          <w:szCs w:val="20"/>
          <w:lang w:eastAsia="ko-KR"/>
        </w:rPr>
        <w:t>[1]</w:t>
      </w:r>
      <w:r w:rsidR="00451F02">
        <w:rPr>
          <w:rFonts w:eastAsia="Malgun Gothic"/>
          <w:sz w:val="20"/>
          <w:szCs w:val="20"/>
          <w:lang w:eastAsia="ko-KR"/>
        </w:rPr>
        <w:fldChar w:fldCharType="end"/>
      </w:r>
      <w:r w:rsidR="00451F02">
        <w:rPr>
          <w:rFonts w:eastAsia="Malgun Gothic"/>
          <w:sz w:val="20"/>
          <w:szCs w:val="20"/>
          <w:lang w:eastAsia="ko-KR"/>
        </w:rPr>
        <w:t xml:space="preserve"> </w:t>
      </w:r>
      <w:r w:rsidR="004E08CB">
        <w:rPr>
          <w:rFonts w:eastAsia="Malgun Gothic"/>
          <w:sz w:val="20"/>
          <w:szCs w:val="20"/>
          <w:lang w:eastAsia="ko-KR"/>
        </w:rPr>
        <w:t xml:space="preserve">for V2X Phase 2, </w:t>
      </w:r>
      <w:r>
        <w:rPr>
          <w:sz w:val="20"/>
          <w:szCs w:val="20"/>
        </w:rPr>
        <w:t xml:space="preserve">agreed by RAN plenary, states that </w:t>
      </w:r>
      <w:r w:rsidR="004E08CB">
        <w:rPr>
          <w:sz w:val="20"/>
          <w:szCs w:val="20"/>
        </w:rPr>
        <w:t>that “t</w:t>
      </w:r>
      <w:r w:rsidR="004E08CB" w:rsidRPr="00AC1619">
        <w:rPr>
          <w:rFonts w:hint="eastAsia"/>
          <w:sz w:val="20"/>
          <w:szCs w:val="20"/>
        </w:rPr>
        <w:t xml:space="preserve">he </w:t>
      </w:r>
      <w:r w:rsidR="004E08CB" w:rsidRPr="00AC1619">
        <w:rPr>
          <w:sz w:val="20"/>
          <w:szCs w:val="20"/>
        </w:rPr>
        <w:t>specif</w:t>
      </w:r>
      <w:r w:rsidR="004E08CB" w:rsidRPr="00AC1619">
        <w:rPr>
          <w:rFonts w:hint="eastAsia"/>
          <w:sz w:val="20"/>
          <w:szCs w:val="20"/>
        </w:rPr>
        <w:t>ied</w:t>
      </w:r>
      <w:r w:rsidR="004E08CB" w:rsidRPr="00AC1619">
        <w:rPr>
          <w:sz w:val="20"/>
          <w:szCs w:val="20"/>
        </w:rPr>
        <w:t xml:space="preserve"> technologies</w:t>
      </w:r>
      <w:r w:rsidR="004E08CB" w:rsidRPr="00AC1619">
        <w:rPr>
          <w:rFonts w:hint="eastAsia"/>
          <w:sz w:val="20"/>
          <w:szCs w:val="20"/>
        </w:rPr>
        <w:t xml:space="preserve"> should be</w:t>
      </w:r>
      <w:r w:rsidR="004E08CB" w:rsidRPr="00AC1619">
        <w:rPr>
          <w:sz w:val="20"/>
          <w:szCs w:val="20"/>
        </w:rPr>
        <w:t xml:space="preserve"> backward compatibl</w:t>
      </w:r>
      <w:r w:rsidR="004E08CB" w:rsidRPr="00AC1619">
        <w:rPr>
          <w:rFonts w:hint="eastAsia"/>
          <w:sz w:val="20"/>
          <w:szCs w:val="20"/>
        </w:rPr>
        <w:t>e with Release 14 V2X for the delivery of safety messages (i.e. CAM/DENM messages)</w:t>
      </w:r>
      <w:r w:rsidR="004E08CB" w:rsidRPr="00AC1619">
        <w:rPr>
          <w:sz w:val="20"/>
          <w:szCs w:val="20"/>
        </w:rPr>
        <w:t xml:space="preserve">” and </w:t>
      </w:r>
      <w:r w:rsidR="004E08CB">
        <w:rPr>
          <w:sz w:val="20"/>
          <w:szCs w:val="20"/>
        </w:rPr>
        <w:t xml:space="preserve">that </w:t>
      </w:r>
      <w:r>
        <w:rPr>
          <w:sz w:val="20"/>
          <w:szCs w:val="20"/>
        </w:rPr>
        <w:t>the specified (or studied) solutions must be able to</w:t>
      </w:r>
      <w:r w:rsidRPr="00495771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 w:rsidRPr="00495771">
        <w:rPr>
          <w:sz w:val="20"/>
          <w:szCs w:val="20"/>
        </w:rPr>
        <w:t>co-exist in the same resource pools as Rel-14 functionality and use the same scheduling assignment format (which can be decoded by Rel-14 UEs), without causing significant degradation to Rel-14 PC5 operation compared to that of Rel-14 UEs</w:t>
      </w:r>
      <w:r>
        <w:rPr>
          <w:sz w:val="20"/>
          <w:szCs w:val="20"/>
        </w:rPr>
        <w:t>”. For the case of sTTI it is possible to introduce a new SA but nevertheless degradation to Rel-14 PC5 operation should remain limited.</w:t>
      </w:r>
    </w:p>
    <w:p w14:paraId="7A3B78D5" w14:textId="791ABBEE" w:rsidR="00495771" w:rsidRDefault="00495771" w:rsidP="00DF3FAA">
      <w:pPr>
        <w:pStyle w:val="BodyText"/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contribution, we present our views on the limitations placed by these coexistence </w:t>
      </w:r>
      <w:r w:rsidR="00451F02">
        <w:rPr>
          <w:sz w:val="20"/>
          <w:szCs w:val="20"/>
        </w:rPr>
        <w:t>requirements</w:t>
      </w:r>
      <w:r>
        <w:rPr>
          <w:sz w:val="20"/>
          <w:szCs w:val="20"/>
        </w:rPr>
        <w:t>.</w:t>
      </w:r>
    </w:p>
    <w:p w14:paraId="7466D6BE" w14:textId="77360A34" w:rsidR="004A307B" w:rsidRDefault="004A307B" w:rsidP="001C33A7">
      <w:pPr>
        <w:pStyle w:val="Heading1"/>
      </w:pPr>
      <w:r>
        <w:t>Considerations on sensing</w:t>
      </w:r>
    </w:p>
    <w:p w14:paraId="7AD7825E" w14:textId="0D055268" w:rsidR="004E08CB" w:rsidRDefault="00225515" w:rsidP="004E08CB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Rel-14 UEs use a resource allocation protocol that relies on sensing and resource reservation. </w:t>
      </w:r>
      <w:r w:rsidR="004E08CB" w:rsidRPr="004E08CB">
        <w:rPr>
          <w:sz w:val="20"/>
          <w:szCs w:val="20"/>
          <w:lang w:val="en-GB"/>
        </w:rPr>
        <w:t xml:space="preserve"> </w:t>
      </w:r>
      <w:r w:rsidR="00A423AA">
        <w:rPr>
          <w:sz w:val="20"/>
          <w:szCs w:val="20"/>
          <w:lang w:val="en-GB"/>
        </w:rPr>
        <w:t>S</w:t>
      </w:r>
      <w:r w:rsidR="004E08CB">
        <w:rPr>
          <w:sz w:val="20"/>
          <w:szCs w:val="20"/>
          <w:lang w:val="en-GB"/>
        </w:rPr>
        <w:t xml:space="preserve">ensing consists of decoding </w:t>
      </w:r>
      <w:r w:rsidR="00A423AA">
        <w:rPr>
          <w:sz w:val="20"/>
          <w:szCs w:val="20"/>
          <w:lang w:val="en-GB"/>
        </w:rPr>
        <w:t xml:space="preserve">the </w:t>
      </w:r>
      <w:r w:rsidR="004E08CB">
        <w:rPr>
          <w:sz w:val="20"/>
          <w:szCs w:val="20"/>
          <w:lang w:val="en-GB"/>
        </w:rPr>
        <w:t>SA</w:t>
      </w:r>
      <w:r w:rsidR="00A423AA">
        <w:rPr>
          <w:sz w:val="20"/>
          <w:szCs w:val="20"/>
          <w:lang w:val="en-GB"/>
        </w:rPr>
        <w:t>s</w:t>
      </w:r>
      <w:r w:rsidR="004E08CB">
        <w:rPr>
          <w:sz w:val="20"/>
          <w:szCs w:val="20"/>
          <w:lang w:val="en-GB"/>
        </w:rPr>
        <w:t xml:space="preserve"> sent by other UEs </w:t>
      </w:r>
      <w:r w:rsidR="00A423AA">
        <w:rPr>
          <w:sz w:val="20"/>
          <w:szCs w:val="20"/>
          <w:lang w:val="en-GB"/>
        </w:rPr>
        <w:t>as well as</w:t>
      </w:r>
      <w:r w:rsidR="004E08CB">
        <w:rPr>
          <w:sz w:val="20"/>
          <w:szCs w:val="20"/>
          <w:lang w:val="en-GB"/>
        </w:rPr>
        <w:t xml:space="preserve"> measuring received power in </w:t>
      </w:r>
      <w:r w:rsidR="00A423AA">
        <w:rPr>
          <w:sz w:val="20"/>
          <w:szCs w:val="20"/>
          <w:lang w:val="en-GB"/>
        </w:rPr>
        <w:t xml:space="preserve">certain </w:t>
      </w:r>
      <w:r w:rsidR="004E08CB">
        <w:rPr>
          <w:sz w:val="20"/>
          <w:szCs w:val="20"/>
          <w:lang w:val="en-GB"/>
        </w:rPr>
        <w:t>resource blocks. The latter further consists of two parts:</w:t>
      </w:r>
    </w:p>
    <w:p w14:paraId="38B158BE" w14:textId="77777777" w:rsidR="004E08CB" w:rsidRPr="00141742" w:rsidRDefault="004E08CB" w:rsidP="00A423AA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A423AA">
        <w:rPr>
          <w:rFonts w:ascii="Times New Roman" w:hAnsi="Times New Roman" w:cs="Times New Roman"/>
          <w:sz w:val="20"/>
          <w:szCs w:val="20"/>
        </w:rPr>
        <w:t>Coherent measurements of the power of the (received) RS symbols, known as PSSCH-RSRP measurement.</w:t>
      </w:r>
    </w:p>
    <w:p w14:paraId="06A64FF6" w14:textId="77777777" w:rsidR="004E08CB" w:rsidRPr="00A423AA" w:rsidRDefault="004E08CB" w:rsidP="00A423AA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A423AA">
        <w:rPr>
          <w:rFonts w:ascii="Times New Roman" w:hAnsi="Times New Roman" w:cs="Times New Roman"/>
          <w:sz w:val="20"/>
          <w:szCs w:val="20"/>
        </w:rPr>
        <w:t>Incoherent energy measurements of the power of all the symbols (i.e., carrying DMRS and payload).</w:t>
      </w:r>
    </w:p>
    <w:p w14:paraId="6D322704" w14:textId="3556492A" w:rsidR="00225515" w:rsidRDefault="004E08CB" w:rsidP="004E08CB">
      <w:pPr>
        <w:pStyle w:val="BodyText"/>
        <w:spacing w:before="240" w:after="240"/>
        <w:jc w:val="both"/>
      </w:pPr>
      <w:r>
        <w:rPr>
          <w:sz w:val="20"/>
          <w:szCs w:val="20"/>
          <w:lang w:val="en-GB"/>
        </w:rPr>
        <w:t>In this section we discuss the limits for changes to the sensing and resource reservation.</w:t>
      </w:r>
    </w:p>
    <w:p w14:paraId="3CE34552" w14:textId="01F7E720" w:rsidR="004A307B" w:rsidRPr="00225515" w:rsidRDefault="004E08CB" w:rsidP="004A307B">
      <w:r>
        <w:rPr>
          <w:lang w:val="en-US"/>
        </w:rPr>
        <w:t xml:space="preserve">The requirements cited in Section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_Ref477899042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implies that</w:t>
      </w:r>
      <w:r w:rsidRPr="004A307B">
        <w:t xml:space="preserve"> </w:t>
      </w:r>
      <w:r w:rsidR="004A307B" w:rsidRPr="004A307B">
        <w:t xml:space="preserve">new features </w:t>
      </w:r>
      <w:r>
        <w:t>introduced in Rel-15 must not</w:t>
      </w:r>
      <w:r w:rsidRPr="004A307B">
        <w:t xml:space="preserve"> </w:t>
      </w:r>
      <w:r w:rsidR="004A307B" w:rsidRPr="004A307B">
        <w:t xml:space="preserve">disrupt </w:t>
      </w:r>
      <w:r w:rsidR="00BB464A">
        <w:t xml:space="preserve">the </w:t>
      </w:r>
      <w:r w:rsidR="004A307B" w:rsidRPr="00225515">
        <w:t xml:space="preserve">sensing </w:t>
      </w:r>
      <w:r w:rsidR="00BB464A">
        <w:t>of</w:t>
      </w:r>
      <w:r w:rsidR="00BB464A" w:rsidRPr="00225515">
        <w:t xml:space="preserve"> </w:t>
      </w:r>
      <w:r w:rsidR="004A307B" w:rsidRPr="00225515">
        <w:t xml:space="preserve">legacy </w:t>
      </w:r>
      <w:r>
        <w:t xml:space="preserve">Rel-14 </w:t>
      </w:r>
      <w:r w:rsidR="004A307B" w:rsidRPr="00225515">
        <w:t>UEs</w:t>
      </w:r>
      <w:r>
        <w:t>. This in turn implies the following:</w:t>
      </w:r>
      <w:bookmarkStart w:id="3" w:name="_GoBack"/>
      <w:bookmarkEnd w:id="3"/>
    </w:p>
    <w:p w14:paraId="1CC55885" w14:textId="4A1468FD" w:rsidR="004A307B" w:rsidRPr="00225515" w:rsidRDefault="004E08CB" w:rsidP="004A307B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Rel-15 UEs should</w:t>
      </w:r>
      <w:r w:rsidRPr="0022551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</w:t>
      </w:r>
      <w:r w:rsidR="004A307B" w:rsidRPr="00225515">
        <w:rPr>
          <w:rFonts w:ascii="Times New Roman" w:hAnsi="Times New Roman" w:cs="Times New Roman"/>
          <w:sz w:val="20"/>
          <w:szCs w:val="20"/>
        </w:rPr>
        <w:t>ransmit legacy SA</w:t>
      </w:r>
      <w:r>
        <w:rPr>
          <w:rFonts w:ascii="Times New Roman" w:hAnsi="Times New Roman" w:cs="Times New Roman"/>
          <w:sz w:val="20"/>
          <w:szCs w:val="20"/>
        </w:rPr>
        <w:t>,</w:t>
      </w:r>
      <w:r w:rsidR="004A307B" w:rsidRPr="00225515">
        <w:rPr>
          <w:rFonts w:ascii="Times New Roman" w:hAnsi="Times New Roman" w:cs="Times New Roman"/>
          <w:sz w:val="20"/>
          <w:szCs w:val="20"/>
        </w:rPr>
        <w:t xml:space="preserve"> except for sTTI</w:t>
      </w:r>
      <w:r>
        <w:rPr>
          <w:rFonts w:ascii="Times New Roman" w:hAnsi="Times New Roman" w:cs="Times New Roman"/>
          <w:sz w:val="20"/>
          <w:szCs w:val="20"/>
        </w:rPr>
        <w:t xml:space="preserve"> transmissions.</w:t>
      </w:r>
    </w:p>
    <w:p w14:paraId="613DCB02" w14:textId="0C0C83CF" w:rsidR="004A307B" w:rsidRPr="00225515" w:rsidRDefault="004E08CB" w:rsidP="00A423AA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Transmissions of Rel-15 UEs should e</w:t>
      </w:r>
      <w:r w:rsidR="004A307B" w:rsidRPr="00225515">
        <w:rPr>
          <w:rFonts w:ascii="Times New Roman" w:hAnsi="Times New Roman" w:cs="Times New Roman"/>
          <w:sz w:val="20"/>
          <w:szCs w:val="20"/>
        </w:rPr>
        <w:t>nable reliable PSSCH-RSRP measurements.</w:t>
      </w:r>
      <w:r>
        <w:rPr>
          <w:rFonts w:ascii="Times New Roman" w:hAnsi="Times New Roman" w:cs="Times New Roman"/>
          <w:sz w:val="20"/>
          <w:szCs w:val="20"/>
        </w:rPr>
        <w:t xml:space="preserve"> This means the amount of power to be captured could potentially be less than in legacy cases but should be sufficiently reliable for making resource selection decision.</w:t>
      </w:r>
    </w:p>
    <w:p w14:paraId="5C3E3C37" w14:textId="755CB780" w:rsidR="00342BC7" w:rsidRDefault="00BB464A" w:rsidP="00225515">
      <w:pPr>
        <w:spacing w:before="240"/>
        <w:jc w:val="both"/>
      </w:pPr>
      <w:r>
        <w:t xml:space="preserve">The above implications therefore affect </w:t>
      </w:r>
      <w:r w:rsidR="0038345B">
        <w:t xml:space="preserve">at least </w:t>
      </w:r>
      <w:r>
        <w:t>the design</w:t>
      </w:r>
      <w:r w:rsidR="0038345B">
        <w:t xml:space="preserve"> of sTTI transmissions with legacy SA format, and the design of transmit diversity schemes, as </w:t>
      </w:r>
      <w:r w:rsidR="00EA37A8">
        <w:t xml:space="preserve">discussed in Section </w:t>
      </w:r>
      <w:r w:rsidR="00EA37A8">
        <w:fldChar w:fldCharType="begin"/>
      </w:r>
      <w:r w:rsidR="00EA37A8">
        <w:instrText xml:space="preserve"> REF _Ref478122959 \r \h </w:instrText>
      </w:r>
      <w:r w:rsidR="00EA37A8">
        <w:fldChar w:fldCharType="separate"/>
      </w:r>
      <w:r w:rsidR="00EA37A8">
        <w:t>5</w:t>
      </w:r>
      <w:r w:rsidR="00EA37A8">
        <w:fldChar w:fldCharType="end"/>
      </w:r>
      <w:r w:rsidR="00EA37A8">
        <w:t xml:space="preserve"> and </w:t>
      </w:r>
      <w:r w:rsidR="0038345B">
        <w:t xml:space="preserve">detailed in our companion contributions </w:t>
      </w:r>
      <w:r w:rsidR="0048600C">
        <w:fldChar w:fldCharType="begin"/>
      </w:r>
      <w:r w:rsidR="0048600C">
        <w:instrText xml:space="preserve"> REF _Ref477900806 \r \h </w:instrText>
      </w:r>
      <w:r w:rsidR="0048600C">
        <w:fldChar w:fldCharType="separate"/>
      </w:r>
      <w:r w:rsidR="0048600C">
        <w:t>[2]</w:t>
      </w:r>
      <w:r w:rsidR="0048600C">
        <w:fldChar w:fldCharType="end"/>
      </w:r>
      <w:r w:rsidR="0048600C">
        <w:fldChar w:fldCharType="begin"/>
      </w:r>
      <w:r w:rsidR="0048600C">
        <w:instrText xml:space="preserve"> REF _Ref477900809 \r \h </w:instrText>
      </w:r>
      <w:r w:rsidR="0048600C">
        <w:fldChar w:fldCharType="separate"/>
      </w:r>
      <w:r w:rsidR="0048600C">
        <w:t>[3]</w:t>
      </w:r>
      <w:r w:rsidR="0048600C">
        <w:fldChar w:fldCharType="end"/>
      </w:r>
      <w:r w:rsidR="0048600C">
        <w:t>.</w:t>
      </w:r>
      <w:r w:rsidR="00A423AA">
        <w:t xml:space="preserve"> </w:t>
      </w:r>
      <w:r w:rsidR="00D625F6">
        <w:t xml:space="preserve"> This may potentially </w:t>
      </w:r>
      <w:r w:rsidR="0046480C">
        <w:t>have impact on</w:t>
      </w:r>
      <w:r w:rsidR="00D625F6">
        <w:t xml:space="preserve"> resource pool configuration</w:t>
      </w:r>
      <w:r w:rsidR="0046480C">
        <w:t>s</w:t>
      </w:r>
      <w:r w:rsidR="00D625F6">
        <w:t xml:space="preserve"> and </w:t>
      </w:r>
      <w:r w:rsidR="0046480C">
        <w:t xml:space="preserve">resource </w:t>
      </w:r>
      <w:r w:rsidR="00D625F6">
        <w:t>sharing mechanisms between Rel-14 UEs, Rel-15 UEs transmitting legacy SA format, and Rel-15 UEs with sTTI SA format.</w:t>
      </w:r>
    </w:p>
    <w:p w14:paraId="5A990310" w14:textId="324B81F6" w:rsidR="00342BC7" w:rsidRPr="003810E1" w:rsidRDefault="00342BC7" w:rsidP="00342BC7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</w:t>
      </w:r>
      <w:r w:rsidR="007A4601">
        <w:rPr>
          <w:b/>
          <w:i/>
          <w:sz w:val="20"/>
          <w:szCs w:val="20"/>
        </w:rPr>
        <w:t xml:space="preserve"> 1</w:t>
      </w:r>
      <w:r w:rsidRPr="003810E1">
        <w:rPr>
          <w:b/>
          <w:i/>
          <w:sz w:val="20"/>
          <w:szCs w:val="20"/>
        </w:rPr>
        <w:t>:</w:t>
      </w:r>
    </w:p>
    <w:p w14:paraId="3B176B08" w14:textId="771DD9DF" w:rsidR="00342BC7" w:rsidRDefault="00342BC7" w:rsidP="00342BC7">
      <w:pPr>
        <w:pStyle w:val="BodyText"/>
        <w:numPr>
          <w:ilvl w:val="0"/>
          <w:numId w:val="17"/>
        </w:numPr>
        <w:spacing w:before="240"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The backward compatibility requirements on sensing impose constraints on the design of Rel-15 features</w:t>
      </w:r>
    </w:p>
    <w:p w14:paraId="29931B4F" w14:textId="7DE5AE20" w:rsidR="004D6F1F" w:rsidRDefault="004D6F1F" w:rsidP="004D6F1F">
      <w:pPr>
        <w:pStyle w:val="Heading1"/>
      </w:pPr>
      <w:r>
        <w:t>Considerations on resource reservation</w:t>
      </w:r>
    </w:p>
    <w:p w14:paraId="226413A9" w14:textId="05FFB49D" w:rsidR="00225515" w:rsidRDefault="00DE7E00" w:rsidP="00164CD0">
      <w:pPr>
        <w:spacing w:before="240"/>
        <w:jc w:val="both"/>
      </w:pPr>
      <w:r>
        <w:t xml:space="preserve">The Rel-14 specification supports the possibility of reserving resources for future transmission. Resource reservation together with sensing are the cornerstone of the resource allocation protocol. In Rel-15, this principle should be respected in a backwards compatible manner, as described in the WID. </w:t>
      </w:r>
      <w:r w:rsidR="00225515">
        <w:t>For most solutions within the scope of the WID this is not a problem because the same SA format must be used. At most, some of the reserved bits may be used by Rel-15 UEs. For sTTI, however, the WID allows for studying (and eventually specifying) solutions with a different SA format. In this case, we observe the following</w:t>
      </w:r>
      <w:r>
        <w:t xml:space="preserve"> regarding transmission with new SA format</w:t>
      </w:r>
      <w:r w:rsidR="00225515">
        <w:t>:</w:t>
      </w:r>
    </w:p>
    <w:p w14:paraId="3535C128" w14:textId="45ABAD82" w:rsidR="00DE7E00" w:rsidRPr="000E3764" w:rsidRDefault="000E3764" w:rsidP="000E3764">
      <w:pPr>
        <w:pStyle w:val="ListParagraph"/>
        <w:numPr>
          <w:ilvl w:val="0"/>
          <w:numId w:val="33"/>
        </w:numPr>
        <w:spacing w:before="240"/>
        <w:jc w:val="both"/>
        <w:rPr>
          <w:rFonts w:ascii="Times New Roman" w:hAnsi="Times New Roman" w:cs="Times New Roman"/>
          <w:sz w:val="20"/>
        </w:rPr>
      </w:pPr>
      <w:r w:rsidRPr="000E3764">
        <w:rPr>
          <w:rFonts w:ascii="Times New Roman" w:hAnsi="Times New Roman" w:cs="Times New Roman"/>
          <w:sz w:val="20"/>
        </w:rPr>
        <w:t xml:space="preserve">If a Rel-15 UE performs single transmission without reservation, </w:t>
      </w:r>
      <w:r w:rsidR="00225515" w:rsidRPr="000E3764">
        <w:rPr>
          <w:rFonts w:ascii="Times New Roman" w:hAnsi="Times New Roman" w:cs="Times New Roman"/>
          <w:sz w:val="20"/>
        </w:rPr>
        <w:t xml:space="preserve">the impact to </w:t>
      </w:r>
      <w:r w:rsidR="00BB464A" w:rsidRPr="000E3764">
        <w:rPr>
          <w:rFonts w:ascii="Times New Roman" w:hAnsi="Times New Roman" w:cs="Times New Roman"/>
          <w:sz w:val="20"/>
        </w:rPr>
        <w:t xml:space="preserve">the operation of </w:t>
      </w:r>
      <w:r w:rsidR="00225515" w:rsidRPr="000E3764">
        <w:rPr>
          <w:rFonts w:ascii="Times New Roman" w:hAnsi="Times New Roman" w:cs="Times New Roman"/>
          <w:sz w:val="20"/>
        </w:rPr>
        <w:t xml:space="preserve">Rel-14 </w:t>
      </w:r>
      <w:r w:rsidR="00BB464A" w:rsidRPr="000E3764">
        <w:rPr>
          <w:rFonts w:ascii="Times New Roman" w:hAnsi="Times New Roman" w:cs="Times New Roman"/>
          <w:sz w:val="20"/>
        </w:rPr>
        <w:t xml:space="preserve">UEs </w:t>
      </w:r>
      <w:r w:rsidR="00225515" w:rsidRPr="000E3764">
        <w:rPr>
          <w:rFonts w:ascii="Times New Roman" w:hAnsi="Times New Roman" w:cs="Times New Roman"/>
          <w:sz w:val="20"/>
        </w:rPr>
        <w:t xml:space="preserve">is not different from a one-shot transmission by a Rel-14 UE. </w:t>
      </w:r>
    </w:p>
    <w:p w14:paraId="766C642E" w14:textId="0C0256D1" w:rsidR="00225515" w:rsidRDefault="000E3764" w:rsidP="00A423AA">
      <w:pPr>
        <w:pStyle w:val="ListParagraph"/>
        <w:numPr>
          <w:ilvl w:val="0"/>
          <w:numId w:val="33"/>
        </w:num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If a Rel-15 UE performs transmission with retransmission but without reservation, then it </w:t>
      </w:r>
      <w:r w:rsidR="00225515" w:rsidRPr="00164CD0">
        <w:rPr>
          <w:rFonts w:ascii="Times New Roman" w:hAnsi="Times New Roman" w:cs="Times New Roman"/>
          <w:sz w:val="20"/>
          <w:szCs w:val="20"/>
        </w:rPr>
        <w:t xml:space="preserve">creates an additional degradation with respect to a Rel-14 UE. </w:t>
      </w:r>
    </w:p>
    <w:p w14:paraId="58366AB3" w14:textId="39D273C8" w:rsidR="00DE7E00" w:rsidRPr="00164CD0" w:rsidRDefault="00DE7E00" w:rsidP="00A423AA">
      <w:pPr>
        <w:pStyle w:val="ListParagraph"/>
        <w:numPr>
          <w:ilvl w:val="0"/>
          <w:numId w:val="33"/>
        </w:num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164CD0">
        <w:rPr>
          <w:rFonts w:ascii="Times New Roman" w:hAnsi="Times New Roman" w:cs="Times New Roman"/>
          <w:sz w:val="20"/>
          <w:szCs w:val="20"/>
        </w:rPr>
        <w:lastRenderedPageBreak/>
        <w:t>The user of resou</w:t>
      </w:r>
      <w:r w:rsidR="00EA37A8">
        <w:rPr>
          <w:rFonts w:ascii="Times New Roman" w:hAnsi="Times New Roman" w:cs="Times New Roman"/>
          <w:sz w:val="20"/>
          <w:szCs w:val="20"/>
        </w:rPr>
        <w:t>r</w:t>
      </w:r>
      <w:r w:rsidRPr="00164CD0">
        <w:rPr>
          <w:rFonts w:ascii="Times New Roman" w:hAnsi="Times New Roman" w:cs="Times New Roman"/>
          <w:sz w:val="20"/>
          <w:szCs w:val="20"/>
        </w:rPr>
        <w:t xml:space="preserve">ce reservation by Rel-15 UEs with new SA format </w:t>
      </w:r>
      <w:r>
        <w:rPr>
          <w:rFonts w:ascii="Times New Roman" w:hAnsi="Times New Roman" w:cs="Times New Roman"/>
          <w:sz w:val="20"/>
          <w:szCs w:val="20"/>
        </w:rPr>
        <w:t>has large impact on Rel-14 UEs.</w:t>
      </w:r>
    </w:p>
    <w:p w14:paraId="0601F4C2" w14:textId="58E77A82" w:rsidR="00164CD0" w:rsidRDefault="00164CD0" w:rsidP="00A423AA">
      <w:pPr>
        <w:pStyle w:val="BodyText"/>
        <w:spacing w:before="240"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Observation</w:t>
      </w:r>
      <w:r w:rsidR="007A4601">
        <w:rPr>
          <w:b/>
          <w:i/>
          <w:sz w:val="20"/>
          <w:szCs w:val="20"/>
        </w:rPr>
        <w:t xml:space="preserve"> 2</w:t>
      </w:r>
      <w:r>
        <w:rPr>
          <w:b/>
          <w:i/>
          <w:sz w:val="20"/>
          <w:szCs w:val="20"/>
        </w:rPr>
        <w:t xml:space="preserve">: </w:t>
      </w:r>
    </w:p>
    <w:p w14:paraId="40340676" w14:textId="6B8D0646" w:rsidR="007A4601" w:rsidRPr="00A423AA" w:rsidRDefault="00164CD0">
      <w:pPr>
        <w:pStyle w:val="BodyText"/>
        <w:numPr>
          <w:ilvl w:val="0"/>
          <w:numId w:val="37"/>
        </w:numPr>
        <w:spacing w:before="240"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The use of new SA format for transmission with retransmissions and/or reservation has impact on the operation of Rel-14 UEs.</w:t>
      </w:r>
    </w:p>
    <w:p w14:paraId="5986BA30" w14:textId="163E1B33" w:rsidR="007A4601" w:rsidRPr="00A423AA" w:rsidRDefault="007A4601" w:rsidP="00A423AA">
      <w:pPr>
        <w:pStyle w:val="BodyText"/>
        <w:spacing w:before="240" w:after="240"/>
        <w:jc w:val="both"/>
        <w:rPr>
          <w:b/>
          <w:i/>
          <w:sz w:val="20"/>
          <w:szCs w:val="20"/>
          <w:lang w:val="en-GB"/>
        </w:rPr>
      </w:pPr>
      <w:r w:rsidRPr="00D57F97">
        <w:rPr>
          <w:sz w:val="20"/>
          <w:szCs w:val="20"/>
          <w:lang w:val="en-GB"/>
        </w:rPr>
        <w:t xml:space="preserve">Detailed discussions of the resource reservation with sTTI transmissions can be found in our companion paper </w:t>
      </w:r>
      <w:r w:rsidRPr="00D57F97">
        <w:fldChar w:fldCharType="begin"/>
      </w:r>
      <w:r w:rsidRPr="00D57F97">
        <w:rPr>
          <w:sz w:val="20"/>
          <w:szCs w:val="20"/>
          <w:lang w:val="en-GB"/>
        </w:rPr>
        <w:instrText xml:space="preserve"> REF _Ref477900806 \r \h </w:instrText>
      </w:r>
      <w:r>
        <w:rPr>
          <w:sz w:val="20"/>
          <w:szCs w:val="20"/>
          <w:lang w:val="en-GB"/>
        </w:rPr>
        <w:instrText xml:space="preserve"> \* MERGEFORMAT </w:instrText>
      </w:r>
      <w:r w:rsidRPr="00D57F97">
        <w:fldChar w:fldCharType="separate"/>
      </w:r>
      <w:r w:rsidRPr="00D57F97">
        <w:rPr>
          <w:sz w:val="20"/>
          <w:szCs w:val="20"/>
          <w:lang w:val="en-GB"/>
        </w:rPr>
        <w:t>[2]</w:t>
      </w:r>
      <w:r w:rsidRPr="00D57F97">
        <w:fldChar w:fldCharType="end"/>
      </w:r>
      <w:r w:rsidRPr="00D57F97">
        <w:rPr>
          <w:sz w:val="20"/>
          <w:szCs w:val="20"/>
          <w:lang w:val="en-GB"/>
        </w:rPr>
        <w:t>.</w:t>
      </w:r>
    </w:p>
    <w:p w14:paraId="401A1320" w14:textId="52F713A3" w:rsidR="00141742" w:rsidRDefault="00706C19" w:rsidP="00706C19">
      <w:pPr>
        <w:pStyle w:val="Heading1"/>
      </w:pPr>
      <w:r w:rsidRPr="00744368">
        <w:t>C</w:t>
      </w:r>
      <w:r w:rsidR="00141742">
        <w:t>onsiderations on resource allocation</w:t>
      </w:r>
    </w:p>
    <w:p w14:paraId="6BB92BA7" w14:textId="44A0CDD9" w:rsidR="006874A3" w:rsidRDefault="004D6F1F" w:rsidP="00A423AA">
      <w:pPr>
        <w:jc w:val="both"/>
      </w:pPr>
      <w:r>
        <w:t>Study and specification of the WID objectives will require a discussion on resource allocation, for example for sTTI or for carrier aggregation. In our view, to minimize the impact of these features on Rel-14 UEs, it is necessary that Rel-15 UEs respect the resource allocation protocol introduced in Rel-14.</w:t>
      </w:r>
    </w:p>
    <w:p w14:paraId="57AE99AD" w14:textId="3AFD15C7" w:rsidR="004D6F1F" w:rsidRPr="00A423AA" w:rsidRDefault="004D6F1F" w:rsidP="00A423AA">
      <w:pPr>
        <w:jc w:val="both"/>
        <w:rPr>
          <w:b/>
          <w:i/>
        </w:rPr>
      </w:pPr>
      <w:r w:rsidRPr="00A423AA">
        <w:rPr>
          <w:b/>
          <w:i/>
        </w:rPr>
        <w:t>Proposal</w:t>
      </w:r>
      <w:r w:rsidR="007A4601">
        <w:rPr>
          <w:b/>
          <w:i/>
        </w:rPr>
        <w:t xml:space="preserve"> 1</w:t>
      </w:r>
      <w:r w:rsidRPr="00A423AA">
        <w:rPr>
          <w:b/>
          <w:i/>
        </w:rPr>
        <w:t>:</w:t>
      </w:r>
    </w:p>
    <w:p w14:paraId="48AF6435" w14:textId="37EAF3DC" w:rsidR="004D6F1F" w:rsidRDefault="004D6F1F" w:rsidP="00A423AA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Rel-14 resource allocation is baseline for Rel-15</w:t>
      </w:r>
      <w:r w:rsidR="00FA747F">
        <w:rPr>
          <w:rFonts w:ascii="Times New Roman" w:hAnsi="Times New Roman" w:cs="Times New Roman"/>
          <w:b/>
          <w:i/>
          <w:sz w:val="20"/>
          <w:szCs w:val="20"/>
        </w:rPr>
        <w:t xml:space="preserve"> features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10A1EB26" w14:textId="03FB0D6E" w:rsidR="00FA747F" w:rsidRPr="00A423AA" w:rsidRDefault="00FA747F" w:rsidP="00A423AA">
      <w:pPr>
        <w:spacing w:before="240"/>
        <w:jc w:val="both"/>
        <w:rPr>
          <w:b/>
          <w:i/>
        </w:rPr>
      </w:pPr>
      <w:r w:rsidRPr="00A423AA">
        <w:t>W</w:t>
      </w:r>
      <w:r>
        <w:t xml:space="preserve">e discuss this issue in detail in our paper on sTTI for PC5 </w:t>
      </w:r>
      <w:r>
        <w:fldChar w:fldCharType="begin"/>
      </w:r>
      <w:r>
        <w:instrText xml:space="preserve"> REF _Ref477900806 \r \h </w:instrText>
      </w:r>
      <w:r>
        <w:fldChar w:fldCharType="separate"/>
      </w:r>
      <w:r>
        <w:t>[2]</w:t>
      </w:r>
      <w:r>
        <w:fldChar w:fldCharType="end"/>
      </w:r>
      <w:r>
        <w:t xml:space="preserve"> and</w:t>
      </w:r>
      <w:r w:rsidRPr="00A423AA">
        <w:t xml:space="preserve"> </w:t>
      </w:r>
      <w:r>
        <w:t>in our paper on Carrier Aggregation</w:t>
      </w:r>
      <w:r w:rsidR="00AA7790">
        <w:t xml:space="preserve"> </w:t>
      </w:r>
      <w:r w:rsidR="00AA7790">
        <w:fldChar w:fldCharType="begin"/>
      </w:r>
      <w:r w:rsidR="00AA7790">
        <w:instrText xml:space="preserve"> REF _Ref478054007 \r \h </w:instrText>
      </w:r>
      <w:r w:rsidR="00AA7790">
        <w:fldChar w:fldCharType="separate"/>
      </w:r>
      <w:r w:rsidR="00AA7790">
        <w:t>[4]</w:t>
      </w:r>
      <w:r w:rsidR="00AA7790">
        <w:fldChar w:fldCharType="end"/>
      </w:r>
      <w:r>
        <w:t>.</w:t>
      </w:r>
    </w:p>
    <w:p w14:paraId="0C1172FA" w14:textId="3FCCFE26" w:rsidR="008A2050" w:rsidRDefault="008A2050">
      <w:pPr>
        <w:pStyle w:val="Heading1"/>
        <w:rPr>
          <w:lang w:val="en-US"/>
        </w:rPr>
      </w:pPr>
      <w:bookmarkStart w:id="4" w:name="_Ref478122959"/>
      <w:r>
        <w:rPr>
          <w:lang w:val="en-US"/>
        </w:rPr>
        <w:t>Considerations on Multi-antenna Diversity Schemes</w:t>
      </w:r>
      <w:bookmarkEnd w:id="4"/>
    </w:p>
    <w:p w14:paraId="363ECCC6" w14:textId="07D48127" w:rsidR="008A2050" w:rsidRDefault="008A2050" w:rsidP="00A423AA">
      <w:pPr>
        <w:rPr>
          <w:lang w:val="en-US"/>
        </w:rPr>
      </w:pPr>
      <w:r>
        <w:rPr>
          <w:lang w:val="en-US"/>
        </w:rPr>
        <w:t>To improve transmission reliability, it is worthwhile to study the potential gains of multi-antenna open-loop diversity schemes for Rel-UEs, as suggested in the WID.</w:t>
      </w:r>
    </w:p>
    <w:p w14:paraId="36CDD356" w14:textId="77777777" w:rsidR="003F6050" w:rsidRDefault="003F6050" w:rsidP="003F6050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Any transmit diversity schemes for Rel-15 should fulfil the following two targets:</w:t>
      </w:r>
    </w:p>
    <w:p w14:paraId="11314FB4" w14:textId="77777777" w:rsidR="003F6050" w:rsidRDefault="003F6050" w:rsidP="003F6050">
      <w:pPr>
        <w:pStyle w:val="BodyText"/>
        <w:numPr>
          <w:ilvl w:val="0"/>
          <w:numId w:val="39"/>
        </w:numPr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Target 1: Providing as much diversity as possible for Rel-15 UEs to improve transmission reliability.</w:t>
      </w:r>
    </w:p>
    <w:p w14:paraId="2BCB6E7B" w14:textId="6197BCFE" w:rsidR="003F6050" w:rsidRDefault="003F6050" w:rsidP="003F6050">
      <w:pPr>
        <w:pStyle w:val="BodyText"/>
        <w:numPr>
          <w:ilvl w:val="0"/>
          <w:numId w:val="39"/>
        </w:numPr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Target 2: Satisfying the backward compatibility requirements set by the WID.</w:t>
      </w:r>
    </w:p>
    <w:p w14:paraId="365A201A" w14:textId="77777777" w:rsidR="003F6050" w:rsidRDefault="003F6050" w:rsidP="003F6050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second target implies the following.</w:t>
      </w:r>
    </w:p>
    <w:p w14:paraId="3A8E60DC" w14:textId="77777777" w:rsidR="003F6050" w:rsidRDefault="003F6050" w:rsidP="003F6050">
      <w:pPr>
        <w:pStyle w:val="BodyText"/>
        <w:numPr>
          <w:ilvl w:val="0"/>
          <w:numId w:val="38"/>
        </w:numPr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 Rel-15 UE uses the same SA format so that Rel-14 receivers can blindly decode it.</w:t>
      </w:r>
    </w:p>
    <w:p w14:paraId="0326A27B" w14:textId="77777777" w:rsidR="003F6050" w:rsidRDefault="003F6050" w:rsidP="003F6050">
      <w:pPr>
        <w:pStyle w:val="BodyText"/>
        <w:numPr>
          <w:ilvl w:val="0"/>
          <w:numId w:val="38"/>
        </w:numPr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Although data transmission of a Rel-15 UE does not need to be decoded by a Rel-14 receiver, DMRS of a Rel-15 UE should be configured in such a way that Rel-14 UEs can measure PSSCH-RSRP properly.</w:t>
      </w:r>
    </w:p>
    <w:p w14:paraId="7C755062" w14:textId="239F9AC1" w:rsidR="003F6050" w:rsidRDefault="003F6050" w:rsidP="003F6050">
      <w:pPr>
        <w:pStyle w:val="BodyText"/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Due to the above two requirements, it is natural to distinguish three types of transmissions for Rel-15 UEs: transmission of SA (including both DMRS and payload), transmission of data DMRS, and transmission of data payload</w:t>
      </w:r>
      <w:r>
        <w:t xml:space="preserve">, </w:t>
      </w:r>
      <w:r>
        <w:rPr>
          <w:sz w:val="20"/>
          <w:szCs w:val="20"/>
          <w:lang w:val="en-GB"/>
        </w:rPr>
        <w:t xml:space="preserve">as </w:t>
      </w:r>
      <w:r w:rsidRPr="00123520">
        <w:rPr>
          <w:sz w:val="20"/>
          <w:szCs w:val="20"/>
          <w:lang w:val="en-GB"/>
        </w:rPr>
        <w:t xml:space="preserve">illustrated in </w:t>
      </w:r>
      <w:r w:rsidRPr="00123520">
        <w:rPr>
          <w:sz w:val="20"/>
          <w:szCs w:val="20"/>
          <w:lang w:val="en-GB"/>
        </w:rPr>
        <w:fldChar w:fldCharType="begin"/>
      </w:r>
      <w:r w:rsidRPr="00123520">
        <w:rPr>
          <w:sz w:val="20"/>
          <w:szCs w:val="20"/>
          <w:lang w:val="en-GB"/>
        </w:rPr>
        <w:instrText xml:space="preserve"> REF _Ref477772629 \h  \* MERGEFORMAT </w:instrText>
      </w:r>
      <w:r w:rsidRPr="00123520">
        <w:rPr>
          <w:sz w:val="20"/>
          <w:szCs w:val="20"/>
          <w:lang w:val="en-GB"/>
        </w:rPr>
      </w:r>
      <w:r w:rsidRPr="00123520">
        <w:rPr>
          <w:sz w:val="20"/>
          <w:szCs w:val="20"/>
          <w:lang w:val="en-GB"/>
        </w:rPr>
        <w:fldChar w:fldCharType="separate"/>
      </w:r>
      <w:r w:rsidRPr="00123520">
        <w:rPr>
          <w:sz w:val="20"/>
          <w:szCs w:val="20"/>
        </w:rPr>
        <w:t xml:space="preserve">Figure </w:t>
      </w:r>
      <w:r w:rsidRPr="00123520">
        <w:rPr>
          <w:noProof/>
          <w:sz w:val="20"/>
          <w:szCs w:val="20"/>
        </w:rPr>
        <w:t>1</w:t>
      </w:r>
      <w:r w:rsidRPr="00123520">
        <w:rPr>
          <w:sz w:val="20"/>
          <w:szCs w:val="20"/>
          <w:lang w:val="en-GB"/>
        </w:rPr>
        <w:fldChar w:fldCharType="end"/>
      </w:r>
      <w:r>
        <w:rPr>
          <w:sz w:val="20"/>
          <w:szCs w:val="20"/>
          <w:lang w:val="en-GB"/>
        </w:rPr>
        <w:t xml:space="preserve">. Here, </w:t>
      </w:r>
      <w:r w:rsidRPr="009E56A6">
        <w:rPr>
          <w:sz w:val="20"/>
          <w:szCs w:val="20"/>
          <w:lang w:val="en-GB"/>
        </w:rPr>
        <w:t>payload</w:t>
      </w:r>
      <w:r>
        <w:rPr>
          <w:sz w:val="20"/>
          <w:szCs w:val="20"/>
          <w:lang w:val="en-GB"/>
        </w:rPr>
        <w:t xml:space="preserve"> is defined as the information carried by the non-DMRS DFTS-OFDM symbols. Moreover, different design principles should be applied to the three types of transmissions. </w:t>
      </w:r>
      <w:r w:rsidRPr="003F6050">
        <w:rPr>
          <w:sz w:val="20"/>
          <w:szCs w:val="20"/>
          <w:lang w:val="en-GB"/>
        </w:rPr>
        <w:t>D</w:t>
      </w:r>
      <w:r w:rsidRPr="00A423AA">
        <w:rPr>
          <w:sz w:val="20"/>
          <w:szCs w:val="20"/>
          <w:lang w:val="en-GB"/>
        </w:rPr>
        <w:t xml:space="preserve">etailed </w:t>
      </w:r>
      <w:r>
        <w:rPr>
          <w:sz w:val="20"/>
          <w:szCs w:val="20"/>
          <w:lang w:val="en-GB"/>
        </w:rPr>
        <w:t xml:space="preserve">can be found </w:t>
      </w:r>
      <w:r w:rsidRPr="003F6050">
        <w:rPr>
          <w:sz w:val="20"/>
          <w:szCs w:val="20"/>
          <w:lang w:val="en-GB"/>
        </w:rPr>
        <w:t>in our companion contribution</w:t>
      </w:r>
      <w:r w:rsidRPr="00A423AA">
        <w:rPr>
          <w:sz w:val="20"/>
          <w:szCs w:val="20"/>
          <w:lang w:val="en-GB"/>
        </w:rPr>
        <w:t xml:space="preserve"> </w:t>
      </w:r>
      <w:r w:rsidRPr="00A423AA">
        <w:rPr>
          <w:sz w:val="20"/>
          <w:szCs w:val="20"/>
          <w:lang w:val="en-GB"/>
        </w:rPr>
        <w:fldChar w:fldCharType="begin"/>
      </w:r>
      <w:r w:rsidRPr="00A423AA">
        <w:rPr>
          <w:sz w:val="20"/>
          <w:szCs w:val="20"/>
          <w:lang w:val="en-GB"/>
        </w:rPr>
        <w:instrText xml:space="preserve"> REF _Ref477900809 \r \h </w:instrText>
      </w:r>
      <w:r>
        <w:rPr>
          <w:sz w:val="20"/>
          <w:szCs w:val="20"/>
          <w:lang w:val="en-GB"/>
        </w:rPr>
        <w:instrText xml:space="preserve"> \* MERGEFORMAT </w:instrText>
      </w:r>
      <w:r w:rsidRPr="00A423AA">
        <w:rPr>
          <w:sz w:val="20"/>
          <w:szCs w:val="20"/>
          <w:lang w:val="en-GB"/>
        </w:rPr>
      </w:r>
      <w:r w:rsidRPr="00A423AA">
        <w:rPr>
          <w:sz w:val="20"/>
          <w:szCs w:val="20"/>
          <w:lang w:val="en-GB"/>
        </w:rPr>
        <w:fldChar w:fldCharType="separate"/>
      </w:r>
      <w:r w:rsidRPr="00A423AA">
        <w:rPr>
          <w:sz w:val="20"/>
          <w:szCs w:val="20"/>
          <w:lang w:val="en-GB"/>
        </w:rPr>
        <w:t>[3]</w:t>
      </w:r>
      <w:r w:rsidRPr="00A423AA">
        <w:rPr>
          <w:sz w:val="20"/>
          <w:szCs w:val="20"/>
          <w:lang w:val="en-GB"/>
        </w:rPr>
        <w:fldChar w:fldCharType="end"/>
      </w:r>
      <w:r>
        <w:rPr>
          <w:sz w:val="20"/>
          <w:szCs w:val="20"/>
          <w:lang w:val="en-GB"/>
        </w:rPr>
        <w:t>.</w:t>
      </w:r>
    </w:p>
    <w:p w14:paraId="3B99B384" w14:textId="77777777" w:rsidR="003F6050" w:rsidRDefault="003F6050" w:rsidP="003F6050">
      <w:pPr>
        <w:pStyle w:val="BodyText"/>
        <w:spacing w:before="240" w:after="240"/>
        <w:jc w:val="center"/>
        <w:rPr>
          <w:sz w:val="20"/>
          <w:szCs w:val="20"/>
          <w:lang w:val="en-GB"/>
        </w:rPr>
      </w:pPr>
      <w:r>
        <w:rPr>
          <w:noProof/>
          <w:sz w:val="20"/>
          <w:szCs w:val="20"/>
        </w:rPr>
        <w:drawing>
          <wp:inline distT="0" distB="0" distL="0" distR="0" wp14:anchorId="1FC0456C" wp14:editId="2E33F343">
            <wp:extent cx="4943475" cy="19729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ree categori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8581" cy="1974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8A8CC" w14:textId="5EE1DB3A" w:rsidR="003F6050" w:rsidRDefault="003F6050" w:rsidP="003F6050">
      <w:pPr>
        <w:pStyle w:val="Caption"/>
        <w:jc w:val="center"/>
        <w:rPr>
          <w:b w:val="0"/>
        </w:rPr>
      </w:pPr>
      <w:bookmarkStart w:id="5" w:name="_Ref477772629"/>
      <w:r w:rsidRPr="00123520">
        <w:rPr>
          <w:b w:val="0"/>
        </w:rPr>
        <w:t xml:space="preserve">Figure </w:t>
      </w:r>
      <w:r w:rsidRPr="00123520">
        <w:rPr>
          <w:b w:val="0"/>
        </w:rPr>
        <w:fldChar w:fldCharType="begin"/>
      </w:r>
      <w:r w:rsidRPr="00123520">
        <w:rPr>
          <w:b w:val="0"/>
        </w:rPr>
        <w:instrText xml:space="preserve"> SEQ Figure \* ARABIC </w:instrText>
      </w:r>
      <w:r w:rsidRPr="00123520">
        <w:rPr>
          <w:b w:val="0"/>
        </w:rPr>
        <w:fldChar w:fldCharType="separate"/>
      </w:r>
      <w:r>
        <w:rPr>
          <w:b w:val="0"/>
          <w:noProof/>
        </w:rPr>
        <w:t>1</w:t>
      </w:r>
      <w:r w:rsidRPr="00123520">
        <w:rPr>
          <w:b w:val="0"/>
        </w:rPr>
        <w:fldChar w:fldCharType="end"/>
      </w:r>
      <w:bookmarkEnd w:id="5"/>
      <w:r w:rsidRPr="00123520">
        <w:rPr>
          <w:b w:val="0"/>
        </w:rPr>
        <w:t xml:space="preserve">. Illustration of the three </w:t>
      </w:r>
      <w:r>
        <w:rPr>
          <w:b w:val="0"/>
        </w:rPr>
        <w:t>types</w:t>
      </w:r>
      <w:r w:rsidRPr="00123520">
        <w:rPr>
          <w:b w:val="0"/>
        </w:rPr>
        <w:t xml:space="preserve"> of transmissions</w:t>
      </w:r>
    </w:p>
    <w:p w14:paraId="19A41BDC" w14:textId="25764252" w:rsidR="003F6050" w:rsidRPr="00A423AA" w:rsidRDefault="003F6050" w:rsidP="00A423AA">
      <w:pPr>
        <w:jc w:val="both"/>
        <w:rPr>
          <w:b/>
          <w:i/>
        </w:rPr>
      </w:pPr>
      <w:r w:rsidRPr="00B322F3">
        <w:rPr>
          <w:b/>
          <w:i/>
        </w:rPr>
        <w:t>Proposal</w:t>
      </w:r>
      <w:r>
        <w:rPr>
          <w:b/>
          <w:i/>
        </w:rPr>
        <w:t xml:space="preserve"> 2</w:t>
      </w:r>
      <w:r w:rsidRPr="00B322F3">
        <w:rPr>
          <w:b/>
          <w:i/>
        </w:rPr>
        <w:t>:</w:t>
      </w:r>
    </w:p>
    <w:p w14:paraId="350C0523" w14:textId="3D318A44" w:rsidR="003F6050" w:rsidRDefault="003F6050" w:rsidP="003F6050">
      <w:pPr>
        <w:pStyle w:val="BodyText"/>
        <w:numPr>
          <w:ilvl w:val="0"/>
          <w:numId w:val="17"/>
        </w:numPr>
        <w:spacing w:before="240" w:after="240"/>
        <w:jc w:val="both"/>
        <w:rPr>
          <w:b/>
          <w:i/>
          <w:sz w:val="20"/>
          <w:szCs w:val="20"/>
        </w:rPr>
      </w:pPr>
      <w:r>
        <w:lastRenderedPageBreak/>
        <w:t xml:space="preserve"> </w:t>
      </w:r>
      <w:r>
        <w:rPr>
          <w:b/>
          <w:i/>
          <w:sz w:val="20"/>
          <w:szCs w:val="20"/>
        </w:rPr>
        <w:t>In order to both exploit transmit diversity and maintain backward compatibility, different multi-antenna design principles should be applied to SA transmission, data payload transmission, and data DMRS transmission</w:t>
      </w:r>
      <w:r w:rsidR="00140D65">
        <w:rPr>
          <w:b/>
          <w:i/>
          <w:sz w:val="20"/>
          <w:szCs w:val="20"/>
        </w:rPr>
        <w:t>, respectively</w:t>
      </w:r>
      <w:r>
        <w:rPr>
          <w:b/>
          <w:i/>
          <w:sz w:val="20"/>
          <w:szCs w:val="20"/>
        </w:rPr>
        <w:t>.</w:t>
      </w:r>
    </w:p>
    <w:p w14:paraId="416C6598" w14:textId="3060C926" w:rsidR="008A2050" w:rsidRPr="008A2050" w:rsidRDefault="004F3109">
      <w:pPr>
        <w:pStyle w:val="Heading1"/>
      </w:pPr>
      <w:r>
        <w:t>C</w:t>
      </w:r>
      <w:r w:rsidR="00706C19" w:rsidRPr="00744368">
        <w:t xml:space="preserve">onclusion </w:t>
      </w:r>
    </w:p>
    <w:p w14:paraId="249BA244" w14:textId="7A4FF550" w:rsidR="00706C19" w:rsidRPr="00A423AA" w:rsidRDefault="00706C1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A423AA">
        <w:rPr>
          <w:spacing w:val="2"/>
          <w:sz w:val="20"/>
          <w:szCs w:val="20"/>
        </w:rPr>
        <w:t xml:space="preserve">In this contribution we </w:t>
      </w:r>
      <w:r w:rsidR="00EA37A8" w:rsidRPr="00A423AA">
        <w:rPr>
          <w:spacing w:val="2"/>
          <w:sz w:val="20"/>
          <w:szCs w:val="20"/>
        </w:rPr>
        <w:t>discussed the implications of the WID on the coexistence of Rel-14 and Rel-15 V2X.</w:t>
      </w:r>
    </w:p>
    <w:p w14:paraId="022B7917" w14:textId="2FCB95C5" w:rsidR="00EA37A8" w:rsidRPr="003810E1" w:rsidRDefault="00EA37A8" w:rsidP="00EA37A8">
      <w:pPr>
        <w:pStyle w:val="BodyText"/>
        <w:spacing w:after="240"/>
        <w:jc w:val="both"/>
        <w:rPr>
          <w:i/>
        </w:rPr>
      </w:pPr>
      <w:r w:rsidRPr="003810E1">
        <w:rPr>
          <w:b/>
          <w:i/>
          <w:sz w:val="20"/>
          <w:szCs w:val="20"/>
        </w:rPr>
        <w:t>Observation</w:t>
      </w:r>
      <w:r>
        <w:rPr>
          <w:b/>
          <w:i/>
          <w:sz w:val="20"/>
          <w:szCs w:val="20"/>
        </w:rPr>
        <w:t>s</w:t>
      </w:r>
      <w:r w:rsidRPr="003810E1">
        <w:rPr>
          <w:b/>
          <w:i/>
          <w:sz w:val="20"/>
          <w:szCs w:val="20"/>
        </w:rPr>
        <w:t>:</w:t>
      </w:r>
    </w:p>
    <w:p w14:paraId="6EE1712A" w14:textId="655C3518" w:rsidR="00EA37A8" w:rsidRPr="008A1E6F" w:rsidRDefault="00EA37A8" w:rsidP="00A423AA">
      <w:pPr>
        <w:pStyle w:val="ListParagraph"/>
        <w:numPr>
          <w:ilvl w:val="0"/>
          <w:numId w:val="36"/>
        </w:numPr>
        <w:jc w:val="both"/>
        <w:rPr>
          <w:b/>
          <w:i/>
          <w:sz w:val="20"/>
          <w:szCs w:val="20"/>
        </w:rPr>
      </w:pPr>
      <w:r w:rsidRPr="00A423AA">
        <w:rPr>
          <w:rFonts w:ascii="Times New Roman" w:hAnsi="Times New Roman" w:cs="Times New Roman"/>
          <w:b/>
          <w:i/>
          <w:sz w:val="20"/>
          <w:szCs w:val="20"/>
        </w:rPr>
        <w:t>The backward compatibility requirements on sensing impose constraints on the design of Rel-15 features.</w:t>
      </w:r>
    </w:p>
    <w:p w14:paraId="1D6DB74E" w14:textId="74C928CD" w:rsidR="00EA37A8" w:rsidRPr="008A1E6F" w:rsidRDefault="00EA37A8" w:rsidP="00A423AA">
      <w:pPr>
        <w:pStyle w:val="ListParagraph"/>
        <w:numPr>
          <w:ilvl w:val="0"/>
          <w:numId w:val="36"/>
        </w:numPr>
        <w:spacing w:before="240"/>
        <w:jc w:val="both"/>
        <w:rPr>
          <w:b/>
          <w:i/>
          <w:sz w:val="20"/>
          <w:szCs w:val="20"/>
        </w:rPr>
      </w:pPr>
      <w:r w:rsidRPr="00A423AA">
        <w:rPr>
          <w:rFonts w:ascii="Times New Roman" w:hAnsi="Times New Roman" w:cs="Times New Roman"/>
          <w:b/>
          <w:i/>
          <w:sz w:val="20"/>
          <w:szCs w:val="20"/>
        </w:rPr>
        <w:t>The use of new SA format for transmission with retransmissions and/or reservation has impact on the operation of Rel-14 UEs.</w:t>
      </w:r>
    </w:p>
    <w:p w14:paraId="6E89DB32" w14:textId="77777777" w:rsidR="00EA37A8" w:rsidRDefault="00EA37A8" w:rsidP="00EA37A8">
      <w:pPr>
        <w:jc w:val="both"/>
        <w:rPr>
          <w:b/>
          <w:i/>
        </w:rPr>
      </w:pPr>
    </w:p>
    <w:p w14:paraId="02B18B88" w14:textId="5F344B8F" w:rsidR="00EA37A8" w:rsidRPr="005C2B33" w:rsidRDefault="00EA37A8" w:rsidP="00EA37A8">
      <w:pPr>
        <w:jc w:val="both"/>
        <w:rPr>
          <w:b/>
          <w:i/>
        </w:rPr>
      </w:pPr>
      <w:r w:rsidRPr="005C2B33">
        <w:rPr>
          <w:b/>
          <w:i/>
        </w:rPr>
        <w:t>Proposal</w:t>
      </w:r>
      <w:r>
        <w:rPr>
          <w:b/>
          <w:i/>
        </w:rPr>
        <w:t>s</w:t>
      </w:r>
      <w:r w:rsidRPr="005C2B33">
        <w:rPr>
          <w:b/>
          <w:i/>
        </w:rPr>
        <w:t>:</w:t>
      </w:r>
    </w:p>
    <w:p w14:paraId="70429082" w14:textId="77777777" w:rsidR="00EA37A8" w:rsidRDefault="00EA37A8" w:rsidP="00EA37A8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Rel-14 resource allocation is baseline for Rel-15 features.</w:t>
      </w:r>
    </w:p>
    <w:p w14:paraId="419A192F" w14:textId="5E5E7F03" w:rsidR="00EA37A8" w:rsidRDefault="00EA37A8" w:rsidP="00EA37A8">
      <w:pPr>
        <w:pStyle w:val="BodyText"/>
        <w:numPr>
          <w:ilvl w:val="0"/>
          <w:numId w:val="17"/>
        </w:numPr>
        <w:spacing w:before="240"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In order to both exploit transmit diversity and maintain backward compatibility, different multi-antenna design principles should be applied to SA transmission, data payload transmission, and data DMRS transmission, respectively.</w:t>
      </w:r>
    </w:p>
    <w:p w14:paraId="642F392E" w14:textId="77777777" w:rsidR="00EA37A8" w:rsidRPr="00954578" w:rsidRDefault="00EA37A8" w:rsidP="00EA37A8">
      <w:pPr>
        <w:pStyle w:val="BodyText"/>
        <w:spacing w:after="240"/>
        <w:jc w:val="both"/>
        <w:rPr>
          <w:spacing w:val="2"/>
          <w:sz w:val="20"/>
          <w:szCs w:val="20"/>
          <w:highlight w:val="yellow"/>
        </w:rPr>
      </w:pPr>
    </w:p>
    <w:p w14:paraId="5036C165" w14:textId="77777777" w:rsidR="00706C19" w:rsidRPr="00DA1475" w:rsidRDefault="00706C19" w:rsidP="00706C19">
      <w:pPr>
        <w:pStyle w:val="Heading1"/>
      </w:pPr>
      <w:r w:rsidRPr="00DA1475">
        <w:t>Reference</w:t>
      </w:r>
    </w:p>
    <w:p w14:paraId="25661003" w14:textId="43265847" w:rsidR="0034705A" w:rsidRPr="00A423AA" w:rsidRDefault="0034705A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6" w:name="_Ref477334356"/>
      <w:bookmarkStart w:id="7" w:name="_Ref462922309"/>
      <w:bookmarkStart w:id="8" w:name="_Ref450915949"/>
      <w:r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RP-170798</w:t>
      </w:r>
      <w:r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New WID on 3GPP V2X Phase 2</w:t>
      </w:r>
      <w:bookmarkEnd w:id="6"/>
    </w:p>
    <w:p w14:paraId="311586F1" w14:textId="0F8D0039" w:rsidR="0038345B" w:rsidRPr="00A423AA" w:rsidRDefault="00EA37A8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9" w:name="_Ref477900806"/>
      <w:r w:rsidRPr="00A423AA">
        <w:rPr>
          <w:rFonts w:ascii="Times New Roman" w:hAnsi="Times New Roman" w:cs="Times New Roman"/>
          <w:color w:val="312E25"/>
          <w:sz w:val="20"/>
          <w:szCs w:val="20"/>
        </w:rPr>
        <w:t>R1-1705786</w:t>
      </w:r>
      <w:r w:rsidR="0038345B"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A423AA">
        <w:rPr>
          <w:rFonts w:ascii="Times New Roman" w:hAnsi="Times New Roman" w:cs="Times New Roman"/>
          <w:color w:val="312E25"/>
          <w:sz w:val="20"/>
          <w:szCs w:val="20"/>
        </w:rPr>
        <w:t>Short TTI transmission for PC5-based V2X</w:t>
      </w:r>
      <w:r w:rsidR="0038345B"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="0038345B"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Ericsson</w:t>
      </w:r>
      <w:bookmarkEnd w:id="9"/>
    </w:p>
    <w:p w14:paraId="7F5454CA" w14:textId="668C5011" w:rsidR="0038345B" w:rsidRPr="00A423AA" w:rsidRDefault="00EA37A8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0" w:name="_Ref477900809"/>
      <w:r w:rsidRPr="00A423AA">
        <w:rPr>
          <w:rFonts w:ascii="Times New Roman" w:hAnsi="Times New Roman" w:cs="Times New Roman"/>
          <w:color w:val="312E25"/>
          <w:sz w:val="20"/>
          <w:szCs w:val="20"/>
        </w:rPr>
        <w:t>R1-1705788</w:t>
      </w:r>
      <w:r w:rsidR="0038345B"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  <w:r w:rsidR="0038345B"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A423AA">
        <w:rPr>
          <w:rFonts w:ascii="Times New Roman" w:hAnsi="Times New Roman" w:cs="Times New Roman"/>
          <w:color w:val="312E25"/>
          <w:sz w:val="20"/>
          <w:szCs w:val="20"/>
        </w:rPr>
        <w:t>Transmit diversity for V2X Rel-15 UEs</w:t>
      </w:r>
      <w:r w:rsidR="0038345B"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="0038345B"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Ericsson</w:t>
      </w:r>
      <w:bookmarkEnd w:id="10"/>
    </w:p>
    <w:p w14:paraId="578B76F6" w14:textId="0451E5A3" w:rsidR="00FA747F" w:rsidRPr="00A423AA" w:rsidRDefault="00EA37A8" w:rsidP="00DF3FAA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1" w:name="_Ref478054007"/>
      <w:r w:rsidRPr="00A423AA">
        <w:rPr>
          <w:rFonts w:ascii="Times New Roman" w:hAnsi="Times New Roman" w:cs="Times New Roman"/>
          <w:color w:val="312E25"/>
          <w:sz w:val="20"/>
          <w:szCs w:val="20"/>
        </w:rPr>
        <w:t>R1-1705784</w:t>
      </w:r>
      <w:r w:rsidR="00FA747F"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  <w:r w:rsidR="00FA747F"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A423AA">
        <w:rPr>
          <w:rFonts w:ascii="Times New Roman" w:hAnsi="Times New Roman" w:cs="Times New Roman"/>
          <w:color w:val="312E25"/>
          <w:sz w:val="20"/>
          <w:szCs w:val="20"/>
        </w:rPr>
        <w:t>On carrier aggregation on PC5</w:t>
      </w:r>
      <w:r w:rsidR="00FA747F"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r w:rsidR="00FA747F"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Ericsson</w:t>
      </w:r>
      <w:bookmarkEnd w:id="11"/>
    </w:p>
    <w:p w14:paraId="249B18C3" w14:textId="18E0AA7A" w:rsidR="0034705A" w:rsidRPr="00A423AA" w:rsidRDefault="0034705A" w:rsidP="00082BCD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2" w:name="_Ref477334379"/>
      <w:r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TS 36.213 </w:t>
      </w:r>
      <w:r w:rsidRPr="00A423A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3rd Generation Partnership Project; Technical Specification Group Radio Access Network; Evolved Universal Terrestrial Radio Access (E-UTRA); Physical layer procedures (Release 14)</w:t>
      </w:r>
      <w:bookmarkEnd w:id="12"/>
    </w:p>
    <w:bookmarkEnd w:id="7"/>
    <w:bookmarkEnd w:id="8"/>
    <w:p w14:paraId="5FA6188E" w14:textId="255503FC" w:rsidR="00706C19" w:rsidRPr="00EA37A8" w:rsidRDefault="00706C19" w:rsidP="00B40CA6">
      <w:pPr>
        <w:pStyle w:val="ListParagraph"/>
        <w:ind w:left="567"/>
        <w:rPr>
          <w:rFonts w:ascii="Times New Roman" w:hAnsi="Times New Roman" w:cs="Times New Roman"/>
          <w:sz w:val="20"/>
          <w:szCs w:val="20"/>
        </w:rPr>
      </w:pPr>
    </w:p>
    <w:p w14:paraId="2A005839" w14:textId="14FF833F" w:rsidR="00420D28" w:rsidRPr="00420D28" w:rsidRDefault="00420D28" w:rsidP="003810E1"/>
    <w:sectPr w:rsidR="00420D28" w:rsidRPr="00420D28" w:rsidSect="004B3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96FB2" w14:textId="77777777" w:rsidR="00EE6485" w:rsidRDefault="00EE6485">
      <w:r>
        <w:separator/>
      </w:r>
    </w:p>
  </w:endnote>
  <w:endnote w:type="continuationSeparator" w:id="0">
    <w:p w14:paraId="17339B26" w14:textId="77777777" w:rsidR="00EE6485" w:rsidRDefault="00EE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D3258" w14:textId="77777777"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46D64" w14:textId="77777777"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792DE" w14:textId="77777777"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8379F" w14:textId="77777777" w:rsidR="00EE6485" w:rsidRDefault="00EE6485">
      <w:r>
        <w:separator/>
      </w:r>
    </w:p>
  </w:footnote>
  <w:footnote w:type="continuationSeparator" w:id="0">
    <w:p w14:paraId="2F4E1C3B" w14:textId="77777777" w:rsidR="00EE6485" w:rsidRDefault="00EE6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AB363" w14:textId="77777777"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D2CE2" w14:textId="77777777"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45E50" w14:textId="77777777"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0BA43420"/>
    <w:multiLevelType w:val="hybridMultilevel"/>
    <w:tmpl w:val="E950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C6BD3"/>
    <w:multiLevelType w:val="hybridMultilevel"/>
    <w:tmpl w:val="F68CDB56"/>
    <w:lvl w:ilvl="0" w:tplc="BB682FB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778E5"/>
    <w:multiLevelType w:val="hybridMultilevel"/>
    <w:tmpl w:val="6FE4E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A85501"/>
    <w:multiLevelType w:val="hybridMultilevel"/>
    <w:tmpl w:val="C4268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01727"/>
    <w:multiLevelType w:val="hybridMultilevel"/>
    <w:tmpl w:val="F0B85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6152435"/>
    <w:multiLevelType w:val="hybridMultilevel"/>
    <w:tmpl w:val="5C34C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04147"/>
    <w:multiLevelType w:val="hybridMultilevel"/>
    <w:tmpl w:val="27D8D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7F27586"/>
    <w:multiLevelType w:val="hybridMultilevel"/>
    <w:tmpl w:val="9DCE64C6"/>
    <w:lvl w:ilvl="0" w:tplc="57D4C2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6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4"/>
  </w:num>
  <w:num w:numId="2">
    <w:abstractNumId w:val="34"/>
  </w:num>
  <w:num w:numId="3">
    <w:abstractNumId w:val="31"/>
  </w:num>
  <w:num w:numId="4">
    <w:abstractNumId w:val="17"/>
  </w:num>
  <w:num w:numId="5">
    <w:abstractNumId w:val="20"/>
  </w:num>
  <w:num w:numId="6">
    <w:abstractNumId w:val="35"/>
  </w:num>
  <w:num w:numId="7">
    <w:abstractNumId w:val="2"/>
  </w:num>
  <w:num w:numId="8">
    <w:abstractNumId w:val="28"/>
  </w:num>
  <w:num w:numId="9">
    <w:abstractNumId w:val="16"/>
  </w:num>
  <w:num w:numId="10">
    <w:abstractNumId w:val="22"/>
  </w:num>
  <w:num w:numId="11">
    <w:abstractNumId w:val="36"/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0"/>
  </w:num>
  <w:num w:numId="17">
    <w:abstractNumId w:val="29"/>
  </w:num>
  <w:num w:numId="18">
    <w:abstractNumId w:val="5"/>
  </w:num>
  <w:num w:numId="19">
    <w:abstractNumId w:val="8"/>
  </w:num>
  <w:num w:numId="20">
    <w:abstractNumId w:val="32"/>
  </w:num>
  <w:num w:numId="21">
    <w:abstractNumId w:val="7"/>
  </w:num>
  <w:num w:numId="22">
    <w:abstractNumId w:val="11"/>
  </w:num>
  <w:num w:numId="23">
    <w:abstractNumId w:val="18"/>
  </w:num>
  <w:num w:numId="24">
    <w:abstractNumId w:val="3"/>
  </w:num>
  <w:num w:numId="25">
    <w:abstractNumId w:val="6"/>
  </w:num>
  <w:num w:numId="26">
    <w:abstractNumId w:val="12"/>
  </w:num>
  <w:num w:numId="27">
    <w:abstractNumId w:val="19"/>
  </w:num>
  <w:num w:numId="28">
    <w:abstractNumId w:val="1"/>
  </w:num>
  <w:num w:numId="29">
    <w:abstractNumId w:val="27"/>
  </w:num>
  <w:num w:numId="30">
    <w:abstractNumId w:val="26"/>
  </w:num>
  <w:num w:numId="31">
    <w:abstractNumId w:val="15"/>
  </w:num>
  <w:num w:numId="32">
    <w:abstractNumId w:val="23"/>
  </w:num>
  <w:num w:numId="33">
    <w:abstractNumId w:val="14"/>
  </w:num>
  <w:num w:numId="34">
    <w:abstractNumId w:val="10"/>
  </w:num>
  <w:num w:numId="35">
    <w:abstractNumId w:val="9"/>
  </w:num>
  <w:num w:numId="36">
    <w:abstractNumId w:val="4"/>
  </w:num>
  <w:num w:numId="37">
    <w:abstractNumId w:val="13"/>
  </w:num>
  <w:num w:numId="38">
    <w:abstractNumId w:val="21"/>
  </w:num>
  <w:num w:numId="39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5EF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39BC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764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45E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AC8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0D65"/>
    <w:rsid w:val="0014123B"/>
    <w:rsid w:val="001415D3"/>
    <w:rsid w:val="001416B6"/>
    <w:rsid w:val="00141742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CD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4A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6F2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128"/>
    <w:rsid w:val="0022547F"/>
    <w:rsid w:val="00225515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3FB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5EC7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D5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0D2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BC7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05A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0E1"/>
    <w:rsid w:val="0038188D"/>
    <w:rsid w:val="00381B09"/>
    <w:rsid w:val="003820B1"/>
    <w:rsid w:val="00382B4F"/>
    <w:rsid w:val="00382FBA"/>
    <w:rsid w:val="0038345B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050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A25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1F02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80C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00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5771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07B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7F7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6F1F"/>
    <w:rsid w:val="004D710D"/>
    <w:rsid w:val="004D71EE"/>
    <w:rsid w:val="004D7245"/>
    <w:rsid w:val="004D7546"/>
    <w:rsid w:val="004D7B47"/>
    <w:rsid w:val="004E06AF"/>
    <w:rsid w:val="004E06F9"/>
    <w:rsid w:val="004E08CB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109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803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49F9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E94"/>
    <w:rsid w:val="00686EC5"/>
    <w:rsid w:val="00687483"/>
    <w:rsid w:val="006874A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C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08A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601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946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AF1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1E6F"/>
    <w:rsid w:val="008A2050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578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DB8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3AA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6C85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790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D7B"/>
    <w:rsid w:val="00B04EAD"/>
    <w:rsid w:val="00B056CF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2B78"/>
    <w:rsid w:val="00BB32CF"/>
    <w:rsid w:val="00BB38F9"/>
    <w:rsid w:val="00BB436F"/>
    <w:rsid w:val="00BB44EF"/>
    <w:rsid w:val="00BB464A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95D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5F6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2E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5F6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E7E00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640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676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25F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7A8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6485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613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0F9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47F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20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6C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F770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2017-03-24T17:14:00Z</dcterms:created>
  <dcterms:modified xsi:type="dcterms:W3CDTF">2017-03-24T17:14:00Z</dcterms:modified>
</cp:coreProperties>
</file>